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3C479F85" w:rsidR="00236608" w:rsidRPr="000C0B6C" w:rsidRDefault="00D073AF" w:rsidP="009A6B72">
            <w:r>
              <w:t>Ash</w:t>
            </w:r>
          </w:p>
        </w:tc>
      </w:tr>
      <w:tr w:rsidR="00236608" w:rsidRPr="000C0B6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7F0E41F5" w:rsidR="00236608" w:rsidRPr="000C0B6C" w:rsidRDefault="00D073AF" w:rsidP="009A6B72">
            <w:r>
              <w:t>Neville</w:t>
            </w:r>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77777777" w:rsidR="00236608" w:rsidRPr="000C0B6C" w:rsidRDefault="00236608" w:rsidP="009A6B72"/>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1F2E5610" w:rsidR="00236608" w:rsidRPr="000C0B6C" w:rsidRDefault="00D073AF" w:rsidP="009A6B72">
            <w:r>
              <w:rPr>
                <w:color w:val="000000"/>
              </w:rPr>
              <w:t>UNEP</w:t>
            </w:r>
            <w:r w:rsidR="007D3898">
              <w:rPr>
                <w:color w:val="000000"/>
              </w:rPr>
              <w:t xml:space="preserve"> and</w:t>
            </w:r>
            <w:r>
              <w:rPr>
                <w:color w:val="000000"/>
              </w:rPr>
              <w:t xml:space="preserve"> UNEP-WCMC</w:t>
            </w:r>
          </w:p>
        </w:tc>
      </w:tr>
      <w:tr w:rsidR="00236608" w:rsidRPr="000C0B6C"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732E40B4" w:rsidR="00236608" w:rsidRPr="000C0B6C" w:rsidRDefault="006C5451" w:rsidP="009A6B72">
            <w:r>
              <w:rPr>
                <w:color w:val="000000"/>
              </w:rPr>
              <w:t>219 Huntingdon Road</w:t>
            </w:r>
          </w:p>
        </w:tc>
      </w:tr>
      <w:tr w:rsidR="00236608" w:rsidRPr="000C0B6C" w14:paraId="3310BC30" w14:textId="77777777" w:rsidTr="00802404">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5A38CF03" w:rsidR="00236608" w:rsidRPr="000C0B6C" w:rsidRDefault="006C5451" w:rsidP="009A6B72">
            <w:r>
              <w:t>Cambridge</w:t>
            </w:r>
          </w:p>
        </w:tc>
      </w:tr>
      <w:tr w:rsidR="00236608" w:rsidRPr="000C0B6C" w14:paraId="0303D967" w14:textId="77777777" w:rsidTr="00802404">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0E086E55" w:rsidR="00236608" w:rsidRPr="000C0B6C" w:rsidRDefault="006C5451" w:rsidP="009A6B72">
            <w:r>
              <w:t>United Kingdom</w:t>
            </w:r>
          </w:p>
        </w:tc>
        <w:bookmarkStart w:id="0" w:name="_GoBack"/>
        <w:bookmarkEnd w:id="0"/>
      </w:tr>
      <w:tr w:rsidR="00236608" w:rsidRPr="000C0B6C" w14:paraId="1112C88B" w14:textId="77777777" w:rsidTr="00802404">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7A54FBF5" w:rsidR="00236608" w:rsidRPr="000C0B6C" w:rsidRDefault="006C5451" w:rsidP="009A6B72">
            <w:r>
              <w:rPr>
                <w:color w:val="000000"/>
              </w:rPr>
              <w:t>CB3 0DL</w:t>
            </w:r>
          </w:p>
        </w:tc>
      </w:tr>
      <w:tr w:rsidR="00236608" w:rsidRPr="000C0B6C" w14:paraId="64A916DC" w14:textId="77777777" w:rsidTr="00802404">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77777777" w:rsidR="00236608" w:rsidRPr="000C0B6C" w:rsidRDefault="00236608" w:rsidP="009A6B72"/>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CommentSubject"/>
              <w:rPr>
                <w:sz w:val="22"/>
                <w:szCs w:val="22"/>
              </w:rPr>
            </w:pPr>
            <w:r w:rsidRPr="000C0B6C">
              <w:rPr>
                <w:sz w:val="22"/>
                <w:szCs w:val="22"/>
              </w:rPr>
              <w:t>E-mail:</w:t>
            </w:r>
          </w:p>
        </w:tc>
        <w:tc>
          <w:tcPr>
            <w:tcW w:w="5425" w:type="dxa"/>
          </w:tcPr>
          <w:p w14:paraId="118A29DB" w14:textId="1B947B96" w:rsidR="00236608" w:rsidRPr="000C0B6C" w:rsidRDefault="00E05B81" w:rsidP="009A6B72">
            <w:r>
              <w:rPr>
                <w:color w:val="000000"/>
              </w:rPr>
              <w:t>neville.ash@un.org</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78F887F9" w14:textId="77777777" w:rsidR="00414EDF" w:rsidRDefault="00414EDF" w:rsidP="00FF1E02">
            <w:pPr>
              <w:rPr>
                <w:sz w:val="22"/>
                <w:szCs w:val="22"/>
              </w:rPr>
            </w:pPr>
            <w:r>
              <w:rPr>
                <w:sz w:val="22"/>
                <w:szCs w:val="22"/>
              </w:rPr>
              <w:t xml:space="preserve">Please </w:t>
            </w:r>
            <w:r w:rsidR="005114BE">
              <w:rPr>
                <w:sz w:val="22"/>
                <w:szCs w:val="22"/>
              </w:rPr>
              <w:t xml:space="preserve">provide </w:t>
            </w:r>
            <w:r>
              <w:rPr>
                <w:sz w:val="22"/>
                <w:szCs w:val="22"/>
              </w:rPr>
              <w:t xml:space="preserve">any </w:t>
            </w:r>
            <w:r w:rsidR="00B662AF">
              <w:rPr>
                <w:sz w:val="22"/>
                <w:szCs w:val="22"/>
              </w:rPr>
              <w:t xml:space="preserve">general </w:t>
            </w:r>
            <w:r>
              <w:rPr>
                <w:sz w:val="22"/>
                <w:szCs w:val="22"/>
              </w:rPr>
              <w:t>comments on</w:t>
            </w:r>
            <w:r w:rsidR="00FF1E02">
              <w:rPr>
                <w:sz w:val="22"/>
                <w:szCs w:val="22"/>
              </w:rPr>
              <w:t xml:space="preserve"> </w:t>
            </w:r>
            <w:r w:rsidR="00070895">
              <w:rPr>
                <w:sz w:val="22"/>
                <w:szCs w:val="22"/>
              </w:rPr>
              <w:t>the</w:t>
            </w:r>
            <w:r w:rsidR="00B662AF">
              <w:rPr>
                <w:sz w:val="22"/>
                <w:szCs w:val="22"/>
              </w:rPr>
              <w:t xml:space="preserve"> national biodiversity strategy and action plan guidance.</w:t>
            </w:r>
            <w:r w:rsidR="00070895">
              <w:rPr>
                <w:sz w:val="22"/>
                <w:szCs w:val="22"/>
              </w:rPr>
              <w:t xml:space="preserve"> </w:t>
            </w:r>
          </w:p>
          <w:p w14:paraId="0EE70757" w14:textId="77777777" w:rsidR="001E788A" w:rsidRPr="001E788A" w:rsidRDefault="001E788A" w:rsidP="001E788A">
            <w:pPr>
              <w:spacing w:before="200"/>
              <w:rPr>
                <w:lang w:val="en-GB" w:eastAsia="en-GB"/>
              </w:rPr>
            </w:pPr>
            <w:r w:rsidRPr="001E788A">
              <w:rPr>
                <w:i/>
                <w:iCs/>
                <w:color w:val="000000"/>
                <w:sz w:val="22"/>
                <w:szCs w:val="22"/>
                <w:lang w:val="en-GB" w:eastAsia="en-GB"/>
              </w:rPr>
              <w:t>Comments relating to cross-mapping of targets</w:t>
            </w:r>
          </w:p>
          <w:p w14:paraId="50115977" w14:textId="77777777" w:rsidR="001E788A" w:rsidRPr="001E788A" w:rsidRDefault="001E788A" w:rsidP="001E788A">
            <w:pPr>
              <w:numPr>
                <w:ilvl w:val="0"/>
                <w:numId w:val="2"/>
              </w:numPr>
              <w:spacing w:before="200"/>
              <w:textAlignment w:val="baseline"/>
              <w:rPr>
                <w:i/>
                <w:iCs/>
                <w:color w:val="000000"/>
                <w:sz w:val="22"/>
                <w:szCs w:val="22"/>
                <w:lang w:val="en-GB" w:eastAsia="en-GB"/>
              </w:rPr>
            </w:pPr>
            <w:r w:rsidRPr="001E788A">
              <w:rPr>
                <w:i/>
                <w:iCs/>
                <w:color w:val="000000"/>
                <w:sz w:val="22"/>
                <w:szCs w:val="22"/>
                <w:lang w:val="en-GB" w:eastAsia="en-GB"/>
              </w:rPr>
              <w:t xml:space="preserve">The mapping of national targets to the action targets of the post-2020 global biodiversity framework </w:t>
            </w:r>
            <w:r w:rsidRPr="001E788A">
              <w:rPr>
                <w:i/>
                <w:iCs/>
                <w:color w:val="000000"/>
                <w:sz w:val="22"/>
                <w:szCs w:val="22"/>
                <w:u w:val="single"/>
                <w:lang w:val="en-GB" w:eastAsia="en-GB"/>
              </w:rPr>
              <w:t>and the ones of other biodiversity conventions</w:t>
            </w:r>
            <w:r w:rsidRPr="001E788A">
              <w:rPr>
                <w:i/>
                <w:iCs/>
                <w:color w:val="000000"/>
                <w:sz w:val="22"/>
                <w:szCs w:val="22"/>
                <w:lang w:val="en-GB" w:eastAsia="en-GB"/>
              </w:rPr>
              <w:t xml:space="preserve"> is a fundamental step towards implementation and monitoring of the progress towards the 2030 milestones included in document CBD/WG2020/3/3.</w:t>
            </w:r>
          </w:p>
          <w:p w14:paraId="44A2014C" w14:textId="77777777" w:rsidR="001E788A" w:rsidRPr="001E788A" w:rsidRDefault="001E788A" w:rsidP="001E788A">
            <w:pPr>
              <w:numPr>
                <w:ilvl w:val="0"/>
                <w:numId w:val="2"/>
              </w:numPr>
              <w:spacing w:before="200"/>
              <w:textAlignment w:val="baseline"/>
              <w:rPr>
                <w:i/>
                <w:iCs/>
                <w:color w:val="000000"/>
                <w:sz w:val="22"/>
                <w:szCs w:val="22"/>
                <w:lang w:val="en-GB" w:eastAsia="en-GB"/>
              </w:rPr>
            </w:pPr>
            <w:r w:rsidRPr="001E788A">
              <w:rPr>
                <w:i/>
                <w:iCs/>
                <w:color w:val="000000"/>
                <w:sz w:val="22"/>
                <w:szCs w:val="22"/>
                <w:lang w:val="en-GB" w:eastAsia="en-GB"/>
              </w:rPr>
              <w:t>The mapping can be facilitated by the one-pagers on the goals and targets in the post-2020 global biodiversity framework (document CBD/WG2020/3/INF/3) and by the mapping among the strategies of other biodiversity conventions and the SDGs. </w:t>
            </w:r>
          </w:p>
          <w:p w14:paraId="16189D00" w14:textId="77777777" w:rsidR="001E788A" w:rsidRPr="001E788A" w:rsidRDefault="001E788A" w:rsidP="001E788A">
            <w:pPr>
              <w:numPr>
                <w:ilvl w:val="0"/>
                <w:numId w:val="2"/>
              </w:numPr>
              <w:spacing w:before="200"/>
              <w:textAlignment w:val="baseline"/>
              <w:rPr>
                <w:i/>
                <w:iCs/>
                <w:color w:val="000000"/>
                <w:sz w:val="22"/>
                <w:szCs w:val="22"/>
                <w:lang w:val="en-GB" w:eastAsia="en-GB"/>
              </w:rPr>
            </w:pPr>
            <w:r w:rsidRPr="001E788A">
              <w:rPr>
                <w:i/>
                <w:iCs/>
                <w:color w:val="000000"/>
                <w:sz w:val="22"/>
                <w:szCs w:val="22"/>
                <w:lang w:val="en-GB" w:eastAsia="en-GB"/>
              </w:rPr>
              <w:t xml:space="preserve">The cross-mapping to goals and targets of other MEAs and the SDGs could be facilitated by use of the Data Reporting Tool for MEAs – </w:t>
            </w:r>
            <w:proofErr w:type="spellStart"/>
            <w:r w:rsidRPr="001E788A">
              <w:rPr>
                <w:i/>
                <w:iCs/>
                <w:color w:val="000000"/>
                <w:sz w:val="22"/>
                <w:szCs w:val="22"/>
                <w:lang w:val="en-GB" w:eastAsia="en-GB"/>
              </w:rPr>
              <w:t>DaRT</w:t>
            </w:r>
            <w:proofErr w:type="spellEnd"/>
            <w:r w:rsidRPr="001E788A">
              <w:rPr>
                <w:i/>
                <w:iCs/>
                <w:color w:val="000000"/>
                <w:sz w:val="22"/>
                <w:szCs w:val="22"/>
                <w:lang w:val="en-GB" w:eastAsia="en-GB"/>
              </w:rPr>
              <w:t xml:space="preserve"> (see: </w:t>
            </w:r>
            <w:hyperlink r:id="rId11" w:history="1">
              <w:r w:rsidRPr="001E788A">
                <w:rPr>
                  <w:i/>
                  <w:iCs/>
                  <w:color w:val="1155CC"/>
                  <w:sz w:val="22"/>
                  <w:szCs w:val="22"/>
                  <w:u w:val="single"/>
                  <w:lang w:val="en-GB" w:eastAsia="en-GB"/>
                </w:rPr>
                <w:t>https://dart.informea.org/strategy</w:t>
              </w:r>
            </w:hyperlink>
            <w:r w:rsidRPr="001E788A">
              <w:rPr>
                <w:i/>
                <w:iCs/>
                <w:color w:val="000000"/>
                <w:sz w:val="22"/>
                <w:szCs w:val="22"/>
                <w:lang w:val="en-GB" w:eastAsia="en-GB"/>
              </w:rPr>
              <w:t>). </w:t>
            </w:r>
          </w:p>
          <w:p w14:paraId="494BBB0D" w14:textId="77777777" w:rsidR="001E788A" w:rsidRPr="001E788A" w:rsidRDefault="001E788A" w:rsidP="001E788A">
            <w:pPr>
              <w:numPr>
                <w:ilvl w:val="0"/>
                <w:numId w:val="2"/>
              </w:numPr>
              <w:spacing w:before="200" w:after="200"/>
              <w:textAlignment w:val="baseline"/>
              <w:rPr>
                <w:i/>
                <w:iCs/>
                <w:color w:val="000000"/>
                <w:sz w:val="22"/>
                <w:szCs w:val="22"/>
                <w:lang w:val="en-GB" w:eastAsia="en-GB"/>
              </w:rPr>
            </w:pPr>
            <w:r w:rsidRPr="001E788A">
              <w:rPr>
                <w:i/>
                <w:iCs/>
                <w:color w:val="000000"/>
                <w:sz w:val="22"/>
                <w:szCs w:val="22"/>
                <w:lang w:val="en-GB" w:eastAsia="en-GB"/>
              </w:rPr>
              <w:t xml:space="preserve">UNEP is working to make </w:t>
            </w:r>
            <w:proofErr w:type="spellStart"/>
            <w:r w:rsidRPr="001E788A">
              <w:rPr>
                <w:i/>
                <w:iCs/>
                <w:color w:val="000000"/>
                <w:sz w:val="22"/>
                <w:szCs w:val="22"/>
                <w:lang w:val="en-GB" w:eastAsia="en-GB"/>
              </w:rPr>
              <w:t>DaRT</w:t>
            </w:r>
            <w:proofErr w:type="spellEnd"/>
            <w:r w:rsidRPr="001E788A">
              <w:rPr>
                <w:i/>
                <w:iCs/>
                <w:color w:val="000000"/>
                <w:sz w:val="22"/>
                <w:szCs w:val="22"/>
                <w:lang w:val="en-GB" w:eastAsia="en-GB"/>
              </w:rPr>
              <w:t xml:space="preserve"> national working spaces available for all Parties. These national working spaces will already include wherever possible mappings among national targets and the Aichi targets as well as the contents of national reports (also mapped to targets). Both mappings are imported from the CHM. The post-2020 global biodiversity framework will be </w:t>
            </w:r>
            <w:r w:rsidRPr="001E788A">
              <w:rPr>
                <w:i/>
                <w:iCs/>
                <w:color w:val="000000"/>
                <w:sz w:val="22"/>
                <w:szCs w:val="22"/>
                <w:lang w:val="en-GB" w:eastAsia="en-GB"/>
              </w:rPr>
              <w:lastRenderedPageBreak/>
              <w:t xml:space="preserve">included in </w:t>
            </w:r>
            <w:proofErr w:type="spellStart"/>
            <w:r w:rsidRPr="001E788A">
              <w:rPr>
                <w:i/>
                <w:iCs/>
                <w:color w:val="000000"/>
                <w:sz w:val="22"/>
                <w:szCs w:val="22"/>
                <w:lang w:val="en-GB" w:eastAsia="en-GB"/>
              </w:rPr>
              <w:t>DaRT</w:t>
            </w:r>
            <w:proofErr w:type="spellEnd"/>
            <w:r w:rsidRPr="001E788A">
              <w:rPr>
                <w:i/>
                <w:iCs/>
                <w:color w:val="000000"/>
                <w:sz w:val="22"/>
                <w:szCs w:val="22"/>
                <w:lang w:val="en-GB" w:eastAsia="en-GB"/>
              </w:rPr>
              <w:t xml:space="preserve"> as soon as adopted. Parties who submitted their 6th National Report using the CBD online reporting tool will therewith benefit within their national </w:t>
            </w:r>
            <w:proofErr w:type="spellStart"/>
            <w:r w:rsidRPr="001E788A">
              <w:rPr>
                <w:i/>
                <w:iCs/>
                <w:color w:val="000000"/>
                <w:sz w:val="22"/>
                <w:szCs w:val="22"/>
                <w:lang w:val="en-GB" w:eastAsia="en-GB"/>
              </w:rPr>
              <w:t>DaRT</w:t>
            </w:r>
            <w:proofErr w:type="spellEnd"/>
            <w:r w:rsidRPr="001E788A">
              <w:rPr>
                <w:i/>
                <w:iCs/>
                <w:color w:val="000000"/>
                <w:sz w:val="22"/>
                <w:szCs w:val="22"/>
                <w:lang w:val="en-GB" w:eastAsia="en-GB"/>
              </w:rPr>
              <w:t xml:space="preserve"> working space from an initial mapping and knowledge base strongly supporting the assessment of the extent to which the NBSAP is already aligned with the new framework and to identify those aspects of components that may need to be revised.</w:t>
            </w:r>
          </w:p>
          <w:p w14:paraId="7953C872" w14:textId="77777777" w:rsidR="001E788A" w:rsidRPr="001E788A" w:rsidRDefault="001E788A" w:rsidP="001E788A">
            <w:pPr>
              <w:spacing w:after="200"/>
              <w:rPr>
                <w:lang w:val="en-GB" w:eastAsia="en-GB"/>
              </w:rPr>
            </w:pPr>
            <w:r w:rsidRPr="001E788A">
              <w:rPr>
                <w:i/>
                <w:iCs/>
                <w:color w:val="000000"/>
                <w:sz w:val="22"/>
                <w:szCs w:val="22"/>
                <w:lang w:val="en-GB" w:eastAsia="en-GB"/>
              </w:rPr>
              <w:t>Comments relating to inclusion of text on gender perspectives:</w:t>
            </w:r>
          </w:p>
          <w:p w14:paraId="1E3DBEBE" w14:textId="77777777" w:rsidR="001E788A" w:rsidRPr="001E788A" w:rsidRDefault="001E788A" w:rsidP="001E788A">
            <w:pPr>
              <w:numPr>
                <w:ilvl w:val="0"/>
                <w:numId w:val="3"/>
              </w:numPr>
              <w:spacing w:before="200" w:after="200"/>
              <w:textAlignment w:val="baseline"/>
              <w:rPr>
                <w:i/>
                <w:iCs/>
                <w:color w:val="000000"/>
                <w:sz w:val="22"/>
                <w:szCs w:val="22"/>
                <w:lang w:val="en-GB" w:eastAsia="en-GB"/>
              </w:rPr>
            </w:pPr>
            <w:r w:rsidRPr="001E788A">
              <w:rPr>
                <w:i/>
                <w:iCs/>
                <w:color w:val="000000"/>
                <w:sz w:val="22"/>
                <w:szCs w:val="22"/>
                <w:lang w:val="en-GB" w:eastAsia="en-GB"/>
              </w:rPr>
              <w:t xml:space="preserve">There is a need to integrate a gender perspective into national biodiversity strategies and action plans (NBSAPs) to ensure their implementation is </w:t>
            </w:r>
            <w:proofErr w:type="gramStart"/>
            <w:r w:rsidRPr="001E788A">
              <w:rPr>
                <w:i/>
                <w:iCs/>
                <w:color w:val="000000"/>
                <w:sz w:val="22"/>
                <w:szCs w:val="22"/>
                <w:lang w:val="en-GB" w:eastAsia="en-GB"/>
              </w:rPr>
              <w:t>gender-responsive</w:t>
            </w:r>
            <w:proofErr w:type="gramEnd"/>
            <w:r w:rsidRPr="001E788A">
              <w:rPr>
                <w:i/>
                <w:iCs/>
                <w:color w:val="000000"/>
                <w:sz w:val="22"/>
                <w:szCs w:val="22"/>
                <w:lang w:val="en-GB" w:eastAsia="en-GB"/>
              </w:rPr>
              <w:t>. It will be important that guidance and gender expertise is made available to support the update and implementation of NBSAPs. National gender and biodiversity focal points should be involved in the NBSAP process (from design to implementation) and support with coordination efforts - this is aligned with the elements of a draft recommendation from document CBD/SBI/3/4/Add.2/Rev.2 which “encourages Parties to appoint and provide support for a national gender and biodiversity focal point, for biodiversity negotiations, implementation and monitoring”</w:t>
            </w:r>
            <w:r w:rsidRPr="001E788A">
              <w:rPr>
                <w:color w:val="000000"/>
                <w:sz w:val="22"/>
                <w:szCs w:val="22"/>
                <w:lang w:val="en-GB" w:eastAsia="en-GB"/>
              </w:rPr>
              <w:t>.</w:t>
            </w:r>
          </w:p>
          <w:p w14:paraId="41CB4648" w14:textId="77777777" w:rsidR="001E788A" w:rsidRPr="001E788A" w:rsidRDefault="001E788A" w:rsidP="001E788A">
            <w:pPr>
              <w:spacing w:after="200"/>
              <w:rPr>
                <w:lang w:val="en-GB" w:eastAsia="en-GB"/>
              </w:rPr>
            </w:pPr>
            <w:r w:rsidRPr="001E788A">
              <w:rPr>
                <w:i/>
                <w:iCs/>
                <w:color w:val="000000"/>
                <w:sz w:val="22"/>
                <w:szCs w:val="22"/>
                <w:lang w:val="en-GB" w:eastAsia="en-GB"/>
              </w:rPr>
              <w:t>Comments on specific paragraphs of the document:</w:t>
            </w:r>
          </w:p>
          <w:p w14:paraId="5B6A062B" w14:textId="77777777" w:rsidR="001E788A" w:rsidRPr="001E788A" w:rsidRDefault="001E788A" w:rsidP="001E788A">
            <w:pPr>
              <w:numPr>
                <w:ilvl w:val="0"/>
                <w:numId w:val="4"/>
              </w:numPr>
              <w:spacing w:before="240" w:after="240"/>
              <w:textAlignment w:val="baseline"/>
              <w:rPr>
                <w:sz w:val="22"/>
                <w:szCs w:val="22"/>
              </w:rPr>
            </w:pPr>
            <w:r w:rsidRPr="001E788A">
              <w:rPr>
                <w:b/>
                <w:bCs/>
                <w:i/>
                <w:iCs/>
                <w:color w:val="000000"/>
                <w:sz w:val="22"/>
                <w:szCs w:val="22"/>
                <w:lang w:val="en-GB" w:eastAsia="en-GB"/>
              </w:rPr>
              <w:t>Paragraph 6c:</w:t>
            </w:r>
            <w:r w:rsidRPr="001E788A">
              <w:rPr>
                <w:i/>
                <w:iCs/>
                <w:color w:val="000000"/>
                <w:sz w:val="22"/>
                <w:szCs w:val="22"/>
                <w:lang w:val="en-GB" w:eastAsia="en-GB"/>
              </w:rPr>
              <w:t xml:space="preserve"> notes the need for NBSAPS to use national and headline indicators, alongside additional component and complementary indicators where appropriate, for monitoring and review. The concept of headline, component and complementary indicators is still under negotiation, so it may be helpful to retain this text in brackets until the monitoring framework is agreed, or to add some rationale to note that the use of the different categories of indicators in NBSAPs is subject to agreement of the monitoring framework.</w:t>
            </w:r>
          </w:p>
          <w:p w14:paraId="1C5D113D" w14:textId="43EFA3C1" w:rsidR="001E788A" w:rsidRPr="00414EDF" w:rsidRDefault="001E788A" w:rsidP="001E788A">
            <w:pPr>
              <w:numPr>
                <w:ilvl w:val="0"/>
                <w:numId w:val="4"/>
              </w:numPr>
              <w:spacing w:before="240" w:after="240"/>
              <w:textAlignment w:val="baseline"/>
              <w:rPr>
                <w:sz w:val="22"/>
                <w:szCs w:val="22"/>
              </w:rPr>
            </w:pPr>
            <w:r w:rsidRPr="001E788A">
              <w:rPr>
                <w:b/>
                <w:bCs/>
                <w:i/>
                <w:iCs/>
                <w:color w:val="000000"/>
                <w:sz w:val="22"/>
                <w:szCs w:val="22"/>
                <w:lang w:val="en-GB" w:eastAsia="en-GB"/>
              </w:rPr>
              <w:t>Paragraph 11</w:t>
            </w:r>
            <w:r w:rsidRPr="001E788A">
              <w:rPr>
                <w:i/>
                <w:iCs/>
                <w:color w:val="000000"/>
                <w:sz w:val="22"/>
                <w:szCs w:val="22"/>
                <w:lang w:val="en-GB" w:eastAsia="en-GB"/>
              </w:rPr>
              <w:t xml:space="preserve">: We recommend adding to paragraph 11 as follows: “Synergies among the NBSAP and the planning and implementation mechanisms of the other biodiversity-related conventions, Rio conventions and other relevant multilateral environmental agreements, and the Sustainable Development Goals should be identified and utilized to maximize efficiency and coherence. </w:t>
            </w:r>
            <w:r w:rsidRPr="001E788A">
              <w:rPr>
                <w:i/>
                <w:iCs/>
                <w:color w:val="000000"/>
                <w:sz w:val="22"/>
                <w:szCs w:val="22"/>
                <w:u w:val="single"/>
                <w:lang w:val="en-GB" w:eastAsia="en-GB"/>
              </w:rPr>
              <w:t xml:space="preserve">To this purpose, Parties are encouraged to make use of the Data Reporting Tool – </w:t>
            </w:r>
            <w:proofErr w:type="spellStart"/>
            <w:r w:rsidRPr="001E788A">
              <w:rPr>
                <w:i/>
                <w:iCs/>
                <w:color w:val="000000"/>
                <w:sz w:val="22"/>
                <w:szCs w:val="22"/>
                <w:u w:val="single"/>
                <w:lang w:val="en-GB" w:eastAsia="en-GB"/>
              </w:rPr>
              <w:t>DaRT</w:t>
            </w:r>
            <w:proofErr w:type="spellEnd"/>
            <w:r w:rsidRPr="001E788A">
              <w:rPr>
                <w:i/>
                <w:iCs/>
                <w:color w:val="000000"/>
                <w:sz w:val="22"/>
                <w:szCs w:val="22"/>
                <w:u w:val="single"/>
                <w:lang w:val="en-GB" w:eastAsia="en-GB"/>
              </w:rPr>
              <w:t xml:space="preserve"> and the mapping among targets displayed in the tool, in support of this process and to make effective use of synergies</w:t>
            </w:r>
            <w:r w:rsidRPr="001E788A">
              <w:rPr>
                <w:i/>
                <w:iCs/>
                <w:color w:val="000000"/>
                <w:sz w:val="22"/>
                <w:szCs w:val="22"/>
                <w:lang w:val="en-GB" w:eastAsia="en-GB"/>
              </w:rPr>
              <w:t>.”</w:t>
            </w: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lastRenderedPageBreak/>
              <w:t>Please use the table below to provide any specific comments on the template</w:t>
            </w:r>
            <w:r w:rsidR="00472B8D">
              <w:rPr>
                <w:sz w:val="22"/>
                <w:szCs w:val="22"/>
              </w:rPr>
              <w:t>:</w:t>
            </w:r>
            <w:r>
              <w:rPr>
                <w:sz w:val="22"/>
                <w:szCs w:val="22"/>
              </w:rPr>
              <w:t xml:space="preserve"> </w:t>
            </w:r>
          </w:p>
        </w:tc>
      </w:tr>
    </w:tbl>
    <w:tbl>
      <w:tblPr>
        <w:tblStyle w:val="TableGrid"/>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ListParagraph"/>
              <w:suppressLineNumbers/>
              <w:suppressAutoHyphens/>
              <w:adjustRightInd w:val="0"/>
              <w:snapToGrid w:val="0"/>
              <w:ind w:left="0"/>
              <w:contextualSpacing w:val="0"/>
              <w:rPr>
                <w:b/>
                <w:kern w:val="22"/>
                <w:szCs w:val="22"/>
              </w:rPr>
            </w:pPr>
            <w:r w:rsidRPr="00153018">
              <w:rPr>
                <w:i/>
                <w:szCs w:val="22"/>
              </w:rPr>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ListParagraph"/>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542FF7E1" w14:textId="7ED852CD" w:rsidR="00B662AF" w:rsidRPr="00EB7321" w:rsidRDefault="00B662AF" w:rsidP="00754892">
            <w:pPr>
              <w:pStyle w:val="ListParagraph"/>
              <w:suppressLineNumbers/>
              <w:suppressAutoHyphens/>
              <w:adjustRightInd w:val="0"/>
              <w:snapToGrid w:val="0"/>
              <w:ind w:left="0"/>
              <w:contextualSpacing w:val="0"/>
              <w:rPr>
                <w:bCs/>
                <w:snapToGrid w:val="0"/>
                <w:kern w:val="22"/>
                <w:szCs w:val="22"/>
              </w:rPr>
            </w:pPr>
            <w:r w:rsidRPr="00EB7321">
              <w:rPr>
                <w:bCs/>
                <w:kern w:val="22"/>
                <w:szCs w:val="22"/>
              </w:rPr>
              <w:t xml:space="preserve">Please provide comments on section 1 which includes the elaboration of national targets towards </w:t>
            </w:r>
            <w:r w:rsidRPr="00EB7321">
              <w:rPr>
                <w:bCs/>
                <w:kern w:val="22"/>
                <w:szCs w:val="22"/>
                <w:u w:val="single"/>
              </w:rPr>
              <w:t>each of the global targets</w:t>
            </w:r>
            <w:r w:rsidRPr="00EB7321">
              <w:rPr>
                <w:bCs/>
                <w:snapToGrid w:val="0"/>
                <w:kern w:val="22"/>
                <w:szCs w:val="22"/>
              </w:rPr>
              <w:t xml:space="preserve"> of the post-2020 global biodiversity framework</w:t>
            </w:r>
            <w:r w:rsidR="00EB7321" w:rsidRPr="00EB7321">
              <w:rPr>
                <w:bCs/>
                <w:snapToGrid w:val="0"/>
                <w:kern w:val="22"/>
                <w:szCs w:val="22"/>
              </w:rPr>
              <w:t>.</w:t>
            </w:r>
          </w:p>
          <w:p w14:paraId="0B5252A4" w14:textId="77777777" w:rsidR="009715B2" w:rsidRDefault="009715B2" w:rsidP="00754892">
            <w:pPr>
              <w:pStyle w:val="ListParagraph"/>
              <w:suppressLineNumbers/>
              <w:suppressAutoHyphens/>
              <w:adjustRightInd w:val="0"/>
              <w:snapToGrid w:val="0"/>
              <w:ind w:left="0"/>
              <w:contextualSpacing w:val="0"/>
              <w:rPr>
                <w:kern w:val="22"/>
                <w:szCs w:val="22"/>
              </w:rPr>
            </w:pPr>
          </w:p>
          <w:p w14:paraId="4253FC03" w14:textId="77777777" w:rsidR="006C73AB" w:rsidRDefault="006C73AB" w:rsidP="006C73AB">
            <w:pPr>
              <w:pStyle w:val="NormalWeb"/>
              <w:numPr>
                <w:ilvl w:val="0"/>
                <w:numId w:val="5"/>
              </w:numPr>
              <w:spacing w:before="240" w:beforeAutospacing="0" w:after="0" w:afterAutospacing="0"/>
              <w:textAlignment w:val="baseline"/>
              <w:rPr>
                <w:i/>
                <w:iCs/>
                <w:color w:val="000000"/>
                <w:sz w:val="22"/>
                <w:szCs w:val="22"/>
              </w:rPr>
            </w:pPr>
            <w:r>
              <w:rPr>
                <w:i/>
                <w:iCs/>
                <w:color w:val="000000"/>
                <w:sz w:val="22"/>
                <w:szCs w:val="22"/>
              </w:rPr>
              <w:t>We recommend making the mapping of national targets to other global targets mandatory rather than optional. The rationale for this is as follows.</w:t>
            </w:r>
          </w:p>
          <w:p w14:paraId="2AF7CF1D" w14:textId="77777777" w:rsidR="006C73AB" w:rsidRDefault="006C73AB" w:rsidP="006C73AB">
            <w:pPr>
              <w:pStyle w:val="NormalWeb"/>
              <w:numPr>
                <w:ilvl w:val="0"/>
                <w:numId w:val="5"/>
              </w:numPr>
              <w:spacing w:before="200" w:beforeAutospacing="0" w:after="0" w:afterAutospacing="0"/>
              <w:textAlignment w:val="baseline"/>
              <w:rPr>
                <w:i/>
                <w:iCs/>
                <w:color w:val="000000"/>
                <w:sz w:val="22"/>
                <w:szCs w:val="22"/>
              </w:rPr>
            </w:pPr>
            <w:r>
              <w:rPr>
                <w:i/>
                <w:iCs/>
                <w:color w:val="000000"/>
                <w:sz w:val="22"/>
                <w:szCs w:val="22"/>
              </w:rPr>
              <w:t>The governing bodies of several conventions requested their Parties to mainstream reflections on the implementation of the respective convention into their NBSAPs (e.g., CMS COP Resolution 8.18 (Rev COP 12), Ramsar Resolution XIII.5, etc.)</w:t>
            </w:r>
          </w:p>
          <w:p w14:paraId="7FD16512" w14:textId="77777777" w:rsidR="006C73AB" w:rsidRDefault="006C73AB" w:rsidP="006C73AB">
            <w:pPr>
              <w:pStyle w:val="NormalWeb"/>
              <w:numPr>
                <w:ilvl w:val="0"/>
                <w:numId w:val="5"/>
              </w:numPr>
              <w:spacing w:before="200" w:beforeAutospacing="0" w:after="0" w:afterAutospacing="0"/>
              <w:textAlignment w:val="baseline"/>
              <w:rPr>
                <w:i/>
                <w:iCs/>
                <w:color w:val="000000"/>
                <w:sz w:val="22"/>
                <w:szCs w:val="22"/>
              </w:rPr>
            </w:pPr>
            <w:r>
              <w:rPr>
                <w:i/>
                <w:iCs/>
                <w:color w:val="000000"/>
                <w:sz w:val="22"/>
                <w:szCs w:val="22"/>
              </w:rPr>
              <w:t>The governing bodies of several conventions adopted mappings among their strategic plans and the Aichi Targets (and are expected to do the same for the goals and targets in the post-2020 global biodiversity framework), including: </w:t>
            </w:r>
          </w:p>
          <w:p w14:paraId="1F1F6611" w14:textId="77777777" w:rsidR="006C73AB" w:rsidRDefault="006C73AB" w:rsidP="006C73AB">
            <w:pPr>
              <w:pStyle w:val="NormalWeb"/>
              <w:numPr>
                <w:ilvl w:val="0"/>
                <w:numId w:val="6"/>
              </w:numPr>
              <w:spacing w:before="200" w:beforeAutospacing="0" w:after="0" w:afterAutospacing="0"/>
              <w:ind w:left="2160"/>
              <w:textAlignment w:val="baseline"/>
              <w:rPr>
                <w:i/>
                <w:iCs/>
                <w:color w:val="000000"/>
                <w:sz w:val="22"/>
                <w:szCs w:val="22"/>
              </w:rPr>
            </w:pPr>
            <w:r>
              <w:rPr>
                <w:i/>
                <w:iCs/>
                <w:color w:val="000000"/>
                <w:sz w:val="22"/>
                <w:szCs w:val="22"/>
              </w:rPr>
              <w:t>Aichi Targets to SDGs: Technical Note on Biodiversity and the 2030 Agenda for Sustainable Development</w:t>
            </w:r>
          </w:p>
          <w:p w14:paraId="129B5DD7" w14:textId="77777777" w:rsidR="006C73AB" w:rsidRDefault="006C73AB" w:rsidP="006C73AB">
            <w:pPr>
              <w:pStyle w:val="NormalWeb"/>
              <w:numPr>
                <w:ilvl w:val="0"/>
                <w:numId w:val="6"/>
              </w:numPr>
              <w:spacing w:before="200" w:beforeAutospacing="0" w:after="0" w:afterAutospacing="0"/>
              <w:ind w:left="2160"/>
              <w:textAlignment w:val="baseline"/>
              <w:rPr>
                <w:i/>
                <w:iCs/>
                <w:color w:val="000000"/>
                <w:sz w:val="22"/>
                <w:szCs w:val="22"/>
              </w:rPr>
            </w:pPr>
            <w:r>
              <w:rPr>
                <w:i/>
                <w:iCs/>
                <w:color w:val="000000"/>
                <w:sz w:val="22"/>
                <w:szCs w:val="22"/>
              </w:rPr>
              <w:lastRenderedPageBreak/>
              <w:t>CMS SPMS to Aichi Targets: The Strategic Plan for Migratory Species 2015-2023, Annex A (CMS Resolution 11.02)</w:t>
            </w:r>
          </w:p>
          <w:p w14:paraId="6D6BB567" w14:textId="77777777" w:rsidR="006C73AB" w:rsidRDefault="006C73AB" w:rsidP="006C73AB">
            <w:pPr>
              <w:pStyle w:val="NormalWeb"/>
              <w:numPr>
                <w:ilvl w:val="0"/>
                <w:numId w:val="6"/>
              </w:numPr>
              <w:spacing w:before="200" w:beforeAutospacing="0" w:after="0" w:afterAutospacing="0"/>
              <w:ind w:left="2160"/>
              <w:textAlignment w:val="baseline"/>
              <w:rPr>
                <w:i/>
                <w:iCs/>
                <w:color w:val="000000"/>
                <w:sz w:val="22"/>
                <w:szCs w:val="22"/>
              </w:rPr>
            </w:pPr>
            <w:r>
              <w:rPr>
                <w:i/>
                <w:iCs/>
                <w:color w:val="000000"/>
                <w:sz w:val="22"/>
                <w:szCs w:val="22"/>
              </w:rPr>
              <w:t>4th Ramsar Strategic Plan to Aichi Targets: The Fourth Ramsar Strategic Plan 2016-2024, Annex 2 (Ramsar COP Resolution XII.2)</w:t>
            </w:r>
          </w:p>
          <w:p w14:paraId="581B2861" w14:textId="77777777" w:rsidR="006C73AB" w:rsidRDefault="006C73AB" w:rsidP="006C73AB">
            <w:pPr>
              <w:pStyle w:val="NormalWeb"/>
              <w:numPr>
                <w:ilvl w:val="0"/>
                <w:numId w:val="6"/>
              </w:numPr>
              <w:spacing w:before="200" w:beforeAutospacing="0" w:after="0" w:afterAutospacing="0"/>
              <w:ind w:left="2160"/>
              <w:textAlignment w:val="baseline"/>
              <w:rPr>
                <w:i/>
                <w:iCs/>
                <w:color w:val="000000"/>
                <w:sz w:val="22"/>
                <w:szCs w:val="22"/>
              </w:rPr>
            </w:pPr>
            <w:r>
              <w:rPr>
                <w:i/>
                <w:iCs/>
                <w:color w:val="000000"/>
                <w:sz w:val="22"/>
                <w:szCs w:val="22"/>
              </w:rPr>
              <w:t>4th Ramsar Strategic Plan to SDGs: Scaling up wetland conservation, wise use and restoration to achieve the Sustainable Development Goals (2018)</w:t>
            </w:r>
          </w:p>
          <w:p w14:paraId="24E8E3BC" w14:textId="77777777" w:rsidR="006C73AB" w:rsidRDefault="006C73AB" w:rsidP="006C73AB">
            <w:pPr>
              <w:pStyle w:val="NormalWeb"/>
              <w:numPr>
                <w:ilvl w:val="0"/>
                <w:numId w:val="6"/>
              </w:numPr>
              <w:spacing w:before="200" w:beforeAutospacing="0" w:after="0" w:afterAutospacing="0"/>
              <w:ind w:left="2160"/>
              <w:textAlignment w:val="baseline"/>
              <w:rPr>
                <w:i/>
                <w:iCs/>
                <w:color w:val="000000"/>
                <w:sz w:val="22"/>
                <w:szCs w:val="22"/>
              </w:rPr>
            </w:pPr>
            <w:r>
              <w:rPr>
                <w:i/>
                <w:iCs/>
                <w:color w:val="000000"/>
                <w:sz w:val="22"/>
                <w:szCs w:val="22"/>
              </w:rPr>
              <w:t>Strategic Plan for the Commission on Genetic Resources for Food and Agriculture to SDGs (CGRFA-16/17/22)</w:t>
            </w:r>
          </w:p>
          <w:p w14:paraId="15757C9D" w14:textId="77777777" w:rsidR="006C73AB" w:rsidRDefault="006C73AB" w:rsidP="006C73AB">
            <w:pPr>
              <w:pStyle w:val="NormalWeb"/>
              <w:numPr>
                <w:ilvl w:val="0"/>
                <w:numId w:val="6"/>
              </w:numPr>
              <w:spacing w:before="200" w:beforeAutospacing="0" w:after="0" w:afterAutospacing="0"/>
              <w:ind w:left="2160"/>
              <w:textAlignment w:val="baseline"/>
              <w:rPr>
                <w:i/>
                <w:iCs/>
                <w:color w:val="000000"/>
                <w:sz w:val="22"/>
                <w:szCs w:val="22"/>
              </w:rPr>
            </w:pPr>
            <w:r>
              <w:rPr>
                <w:i/>
                <w:iCs/>
                <w:color w:val="000000"/>
                <w:sz w:val="22"/>
                <w:szCs w:val="22"/>
              </w:rPr>
              <w:t>AEWA Strategic Plan to Aichi Targets, SDGs, CMS SPMS (UNEP/AEWA/MOP7/Res. 7.1)</w:t>
            </w:r>
          </w:p>
          <w:p w14:paraId="573A5A4A" w14:textId="77777777" w:rsidR="006C73AB" w:rsidRDefault="006C73AB" w:rsidP="006C73AB">
            <w:pPr>
              <w:pStyle w:val="NormalWeb"/>
              <w:numPr>
                <w:ilvl w:val="0"/>
                <w:numId w:val="7"/>
              </w:numPr>
              <w:spacing w:before="200" w:beforeAutospacing="0" w:after="0" w:afterAutospacing="0"/>
              <w:textAlignment w:val="baseline"/>
              <w:rPr>
                <w:i/>
                <w:iCs/>
                <w:color w:val="000000"/>
                <w:sz w:val="22"/>
                <w:szCs w:val="22"/>
              </w:rPr>
            </w:pPr>
            <w:r>
              <w:rPr>
                <w:i/>
                <w:iCs/>
                <w:color w:val="000000"/>
                <w:sz w:val="22"/>
                <w:szCs w:val="22"/>
              </w:rPr>
              <w:t xml:space="preserve">By making the mapping of national targets to other global targets mandatory, the report becomes relevant for all biodiversity-related conventions and will reflect that the post-2020 global biodiversity framework is a framework for all and not limited to the CBD. Further, a mandatory mapping is conducive for consistency of reporting across the biodiversity conventions and reduces duplication of work at the national level. It is also facilitated when using </w:t>
            </w:r>
            <w:proofErr w:type="spellStart"/>
            <w:r>
              <w:rPr>
                <w:i/>
                <w:iCs/>
                <w:color w:val="000000"/>
                <w:sz w:val="22"/>
                <w:szCs w:val="22"/>
              </w:rPr>
              <w:t>DaRT</w:t>
            </w:r>
            <w:proofErr w:type="spellEnd"/>
            <w:r>
              <w:rPr>
                <w:i/>
                <w:iCs/>
                <w:color w:val="000000"/>
                <w:sz w:val="22"/>
                <w:szCs w:val="22"/>
              </w:rPr>
              <w:t xml:space="preserve"> as a reporting tool.</w:t>
            </w:r>
          </w:p>
          <w:p w14:paraId="03EE7E12" w14:textId="3276FD8C" w:rsidR="006C73AB" w:rsidRPr="006C73AB" w:rsidRDefault="006C73AB" w:rsidP="006C73AB">
            <w:pPr>
              <w:pStyle w:val="NormalWeb"/>
              <w:numPr>
                <w:ilvl w:val="0"/>
                <w:numId w:val="7"/>
              </w:numPr>
              <w:spacing w:before="200" w:beforeAutospacing="0" w:after="200" w:afterAutospacing="0"/>
              <w:textAlignment w:val="baseline"/>
              <w:rPr>
                <w:i/>
                <w:iCs/>
                <w:color w:val="000000"/>
                <w:sz w:val="22"/>
                <w:szCs w:val="22"/>
              </w:rPr>
            </w:pPr>
            <w:r>
              <w:rPr>
                <w:i/>
                <w:iCs/>
                <w:color w:val="000000"/>
                <w:sz w:val="22"/>
                <w:szCs w:val="22"/>
              </w:rPr>
              <w:t xml:space="preserve">Further, a second </w:t>
            </w:r>
            <w:proofErr w:type="spellStart"/>
            <w:r>
              <w:rPr>
                <w:i/>
                <w:iCs/>
                <w:color w:val="000000"/>
                <w:sz w:val="22"/>
                <w:szCs w:val="22"/>
              </w:rPr>
              <w:t>dropbox</w:t>
            </w:r>
            <w:proofErr w:type="spellEnd"/>
            <w:r>
              <w:rPr>
                <w:i/>
                <w:iCs/>
                <w:color w:val="000000"/>
                <w:sz w:val="22"/>
                <w:szCs w:val="22"/>
              </w:rPr>
              <w:t xml:space="preserve"> could be included to allow a mapping of NBSAPs to action plans adopted by the CBD, such as the gender plan for action</w:t>
            </w: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lastRenderedPageBreak/>
              <w:t>2</w:t>
            </w:r>
          </w:p>
        </w:tc>
        <w:tc>
          <w:tcPr>
            <w:tcW w:w="8550" w:type="dxa"/>
          </w:tcPr>
          <w:p w14:paraId="2FF7179A" w14:textId="6E60A542" w:rsidR="00B662AF" w:rsidRDefault="00B662AF" w:rsidP="00754892">
            <w:pPr>
              <w:pStyle w:val="ListParagraph"/>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0CB0B4BD" w14:textId="687F5D26" w:rsidR="006C73AB" w:rsidRPr="00EB7321" w:rsidRDefault="006C73AB" w:rsidP="006C73AB">
            <w:pPr>
              <w:pStyle w:val="ListParagraph"/>
              <w:numPr>
                <w:ilvl w:val="0"/>
                <w:numId w:val="8"/>
              </w:numPr>
              <w:suppressLineNumbers/>
              <w:suppressAutoHyphens/>
              <w:adjustRightInd w:val="0"/>
              <w:snapToGrid w:val="0"/>
              <w:contextualSpacing w:val="0"/>
              <w:jc w:val="left"/>
              <w:rPr>
                <w:bCs/>
                <w:kern w:val="22"/>
                <w:szCs w:val="22"/>
              </w:rPr>
            </w:pPr>
            <w:r>
              <w:rPr>
                <w:i/>
                <w:iCs/>
                <w:color w:val="000000"/>
                <w:szCs w:val="22"/>
              </w:rPr>
              <w:t>No specific comments</w:t>
            </w:r>
          </w:p>
          <w:p w14:paraId="3DFB4C3A" w14:textId="751B3617" w:rsidR="00802404" w:rsidRPr="00EB7321" w:rsidRDefault="00802404" w:rsidP="00754892">
            <w:pPr>
              <w:pStyle w:val="ListParagraph"/>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ListParagraph"/>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6FB3AEAE" w:rsidR="00B662AF"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5B413ED9" w14:textId="56BBD9FD" w:rsidR="006C73AB" w:rsidRPr="006C73AB" w:rsidRDefault="006C73AB" w:rsidP="006C73AB">
            <w:pPr>
              <w:pStyle w:val="ListParagraph"/>
              <w:numPr>
                <w:ilvl w:val="0"/>
                <w:numId w:val="8"/>
              </w:numPr>
              <w:suppressLineNumbers/>
              <w:suppressAutoHyphens/>
              <w:adjustRightInd w:val="0"/>
              <w:snapToGrid w:val="0"/>
              <w:rPr>
                <w:bCs/>
                <w:kern w:val="22"/>
                <w:szCs w:val="22"/>
              </w:rPr>
            </w:pPr>
            <w:r w:rsidRPr="006C73AB">
              <w:rPr>
                <w:i/>
                <w:iCs/>
                <w:color w:val="000000"/>
                <w:szCs w:val="22"/>
              </w:rPr>
              <w:t>No specific comments</w:t>
            </w:r>
          </w:p>
          <w:p w14:paraId="2F338F22" w14:textId="3551438A" w:rsidR="00802404" w:rsidRPr="00EB7321" w:rsidRDefault="00802404" w:rsidP="00754892">
            <w:pPr>
              <w:suppressLineNumbers/>
              <w:suppressAutoHyphens/>
              <w:adjustRightInd w:val="0"/>
              <w:snapToGrid w:val="0"/>
              <w:rPr>
                <w:kern w:val="22"/>
                <w:sz w:val="22"/>
                <w:szCs w:val="22"/>
                <w:lang w:val="en-GB"/>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258CAF13" w:rsidR="00B662AF" w:rsidRDefault="00B662AF" w:rsidP="00A15B70">
            <w:pPr>
              <w:pStyle w:val="ListParagraph"/>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21253C87" w14:textId="4EFC7273" w:rsidR="006C73AB" w:rsidRPr="00EB7321" w:rsidRDefault="006C73AB" w:rsidP="006C73AB">
            <w:pPr>
              <w:pStyle w:val="ListParagraph"/>
              <w:numPr>
                <w:ilvl w:val="0"/>
                <w:numId w:val="8"/>
              </w:numPr>
              <w:suppressLineNumbers/>
              <w:suppressAutoHyphens/>
              <w:adjustRightInd w:val="0"/>
              <w:snapToGrid w:val="0"/>
              <w:contextualSpacing w:val="0"/>
              <w:jc w:val="left"/>
              <w:rPr>
                <w:bCs/>
                <w:kern w:val="22"/>
                <w:szCs w:val="22"/>
              </w:rPr>
            </w:pPr>
            <w:r>
              <w:rPr>
                <w:i/>
                <w:iCs/>
                <w:color w:val="000000"/>
                <w:szCs w:val="22"/>
              </w:rPr>
              <w:t>No specific comments</w:t>
            </w:r>
          </w:p>
          <w:p w14:paraId="2ECEC149" w14:textId="49192358" w:rsidR="00802404" w:rsidRPr="00EB7321" w:rsidRDefault="00802404" w:rsidP="00A15B70">
            <w:pPr>
              <w:pStyle w:val="ListParagraph"/>
              <w:suppressLineNumbers/>
              <w:suppressAutoHyphens/>
              <w:adjustRightInd w:val="0"/>
              <w:snapToGrid w:val="0"/>
              <w:ind w:left="0"/>
              <w:contextualSpacing w:val="0"/>
              <w:jc w:val="left"/>
              <w:rPr>
                <w:kern w:val="22"/>
                <w:szCs w:val="22"/>
              </w:rPr>
            </w:pP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8A44B" w14:textId="77777777" w:rsidR="005A07A0" w:rsidRDefault="005A07A0" w:rsidP="00AE7B5B">
      <w:r>
        <w:separator/>
      </w:r>
    </w:p>
  </w:endnote>
  <w:endnote w:type="continuationSeparator" w:id="0">
    <w:p w14:paraId="5BFEB802" w14:textId="77777777" w:rsidR="005A07A0" w:rsidRDefault="005A07A0"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FA1E9" w14:textId="77777777" w:rsidR="005A07A0" w:rsidRDefault="005A07A0" w:rsidP="00AE7B5B">
      <w:r>
        <w:separator/>
      </w:r>
    </w:p>
  </w:footnote>
  <w:footnote w:type="continuationSeparator" w:id="0">
    <w:p w14:paraId="11DA40CB" w14:textId="77777777" w:rsidR="005A07A0" w:rsidRDefault="005A07A0"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5E25"/>
    <w:multiLevelType w:val="multilevel"/>
    <w:tmpl w:val="D6B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035E9"/>
    <w:multiLevelType w:val="hybridMultilevel"/>
    <w:tmpl w:val="76889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47290"/>
    <w:multiLevelType w:val="multilevel"/>
    <w:tmpl w:val="B568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35E64"/>
    <w:multiLevelType w:val="multilevel"/>
    <w:tmpl w:val="B7F2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C415A"/>
    <w:multiLevelType w:val="multilevel"/>
    <w:tmpl w:val="9930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766E47"/>
    <w:multiLevelType w:val="multilevel"/>
    <w:tmpl w:val="BC6E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B5816"/>
    <w:multiLevelType w:val="multilevel"/>
    <w:tmpl w:val="F52E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5"/>
  </w:num>
  <w:num w:numId="4">
    <w:abstractNumId w:val="4"/>
  </w:num>
  <w:num w:numId="5">
    <w:abstractNumId w:val="6"/>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3CCA"/>
    <w:rsid w:val="00043210"/>
    <w:rsid w:val="00070895"/>
    <w:rsid w:val="00130A14"/>
    <w:rsid w:val="0016656C"/>
    <w:rsid w:val="001E788A"/>
    <w:rsid w:val="00236608"/>
    <w:rsid w:val="0033526A"/>
    <w:rsid w:val="00414EDF"/>
    <w:rsid w:val="00472B8D"/>
    <w:rsid w:val="005114BE"/>
    <w:rsid w:val="0053632F"/>
    <w:rsid w:val="005558F7"/>
    <w:rsid w:val="00577FC4"/>
    <w:rsid w:val="005A07A0"/>
    <w:rsid w:val="00636EB3"/>
    <w:rsid w:val="00647F74"/>
    <w:rsid w:val="006A1391"/>
    <w:rsid w:val="006C5451"/>
    <w:rsid w:val="006C73AB"/>
    <w:rsid w:val="00715556"/>
    <w:rsid w:val="007D3898"/>
    <w:rsid w:val="00802404"/>
    <w:rsid w:val="008A3A9F"/>
    <w:rsid w:val="008A6047"/>
    <w:rsid w:val="008E7015"/>
    <w:rsid w:val="00962581"/>
    <w:rsid w:val="009715B2"/>
    <w:rsid w:val="009A6B72"/>
    <w:rsid w:val="009C30DA"/>
    <w:rsid w:val="00A079C7"/>
    <w:rsid w:val="00A15B70"/>
    <w:rsid w:val="00AE7B5B"/>
    <w:rsid w:val="00AF4AD0"/>
    <w:rsid w:val="00B51493"/>
    <w:rsid w:val="00B662AF"/>
    <w:rsid w:val="00D073AF"/>
    <w:rsid w:val="00D93CCA"/>
    <w:rsid w:val="00DC44E4"/>
    <w:rsid w:val="00E05B81"/>
    <w:rsid w:val="00E2476B"/>
    <w:rsid w:val="00EA713A"/>
    <w:rsid w:val="00EB7321"/>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15:docId w15:val="{FF3CB444-0F41-4CAE-8F92-332B30CCA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paragraph" w:styleId="NormalWeb">
    <w:name w:val="Normal (Web)"/>
    <w:basedOn w:val="Normal"/>
    <w:uiPriority w:val="99"/>
    <w:unhideWhenUsed/>
    <w:rsid w:val="006C73A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34593">
      <w:bodyDiv w:val="1"/>
      <w:marLeft w:val="0"/>
      <w:marRight w:val="0"/>
      <w:marTop w:val="0"/>
      <w:marBottom w:val="0"/>
      <w:divBdr>
        <w:top w:val="none" w:sz="0" w:space="0" w:color="auto"/>
        <w:left w:val="none" w:sz="0" w:space="0" w:color="auto"/>
        <w:bottom w:val="none" w:sz="0" w:space="0" w:color="auto"/>
        <w:right w:val="none" w:sz="0" w:space="0" w:color="auto"/>
      </w:divBdr>
    </w:div>
    <w:div w:id="1354377538">
      <w:bodyDiv w:val="1"/>
      <w:marLeft w:val="0"/>
      <w:marRight w:val="0"/>
      <w:marTop w:val="0"/>
      <w:marBottom w:val="0"/>
      <w:divBdr>
        <w:top w:val="none" w:sz="0" w:space="0" w:color="auto"/>
        <w:left w:val="none" w:sz="0" w:space="0" w:color="auto"/>
        <w:bottom w:val="none" w:sz="0" w:space="0" w:color="auto"/>
        <w:right w:val="none" w:sz="0" w:space="0" w:color="auto"/>
      </w:divBdr>
      <w:divsChild>
        <w:div w:id="1462382871">
          <w:marLeft w:val="-115"/>
          <w:marRight w:val="0"/>
          <w:marTop w:val="0"/>
          <w:marBottom w:val="0"/>
          <w:divBdr>
            <w:top w:val="none" w:sz="0" w:space="0" w:color="auto"/>
            <w:left w:val="none" w:sz="0" w:space="0" w:color="auto"/>
            <w:bottom w:val="none" w:sz="0" w:space="0" w:color="auto"/>
            <w:right w:val="none" w:sz="0" w:space="0" w:color="auto"/>
          </w:divBdr>
        </w:div>
      </w:divsChild>
    </w:div>
    <w:div w:id="2033996964">
      <w:bodyDiv w:val="1"/>
      <w:marLeft w:val="0"/>
      <w:marRight w:val="0"/>
      <w:marTop w:val="0"/>
      <w:marBottom w:val="0"/>
      <w:divBdr>
        <w:top w:val="none" w:sz="0" w:space="0" w:color="auto"/>
        <w:left w:val="none" w:sz="0" w:space="0" w:color="auto"/>
        <w:bottom w:val="none" w:sz="0" w:space="0" w:color="auto"/>
        <w:right w:val="none" w:sz="0" w:space="0" w:color="auto"/>
      </w:divBdr>
    </w:div>
    <w:div w:id="21471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rt.informea.org/strateg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648C111180E459E294E963FE1082A" ma:contentTypeVersion="10" ma:contentTypeDescription="Create a new document." ma:contentTypeScope="" ma:versionID="48f9e77126b14c3c77f2c9364c768a94">
  <xsd:schema xmlns:xsd="http://www.w3.org/2001/XMLSchema" xmlns:xs="http://www.w3.org/2001/XMLSchema" xmlns:p="http://schemas.microsoft.com/office/2006/metadata/properties" xmlns:ns2="54a86806-144e-40e2-83e5-f331f141b0c3" xmlns:ns3="6893175b-d02b-4b59-bcab-f04604cd1678" targetNamespace="http://schemas.microsoft.com/office/2006/metadata/properties" ma:root="true" ma:fieldsID="1dd312cce78564b84e8aa37c46086e3f" ns2:_="" ns3:_="">
    <xsd:import namespace="54a86806-144e-40e2-83e5-f331f141b0c3"/>
    <xsd:import namespace="6893175b-d02b-4b59-bcab-f04604cd1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86806-144e-40e2-83e5-f331f141b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93175b-d02b-4b59-bcab-f04604cd16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199A6-F4F8-45F2-A2FE-10FAB6DF3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86806-144e-40e2-83e5-f331f141b0c3"/>
    <ds:schemaRef ds:uri="6893175b-d02b-4b59-bcab-f04604cd1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3F77C-68ED-4D32-91F2-BA6A54B1824E}">
  <ds:schemaRefs>
    <ds:schemaRef ds:uri="http://schemas.microsoft.com/sharepoint/v3/contenttype/forms"/>
  </ds:schemaRefs>
</ds:datastoreItem>
</file>

<file path=customXml/itemProps3.xml><?xml version="1.0" encoding="utf-8"?>
<ds:datastoreItem xmlns:ds="http://schemas.openxmlformats.org/officeDocument/2006/customXml" ds:itemID="{63FE0C78-6043-4963-B177-676C384793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BE7EC8-2934-4A32-BFCB-3D9F26CD2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Neville Ash</cp:lastModifiedBy>
  <cp:revision>15</cp:revision>
  <dcterms:created xsi:type="dcterms:W3CDTF">2022-01-14T18:11:00Z</dcterms:created>
  <dcterms:modified xsi:type="dcterms:W3CDTF">2022-02-25T21:00:00Z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0x01010027E648C111180E459E294E963FE1082A</vt:lpwstr>
  </property>
</Properties>
</file>